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FB" w:rsidRPr="009B5624" w:rsidRDefault="000A52FB" w:rsidP="000A52FB">
      <w:pPr>
        <w:pStyle w:val="Titolo1"/>
        <w:spacing w:before="0" w:line="240" w:lineRule="auto"/>
        <w:rPr>
          <w:rFonts w:ascii="Calibri" w:hAnsi="Calibri" w:cs="Calibri"/>
          <w:bCs w:val="0"/>
          <w:color w:val="000000"/>
          <w:sz w:val="16"/>
          <w:szCs w:val="16"/>
        </w:rPr>
      </w:pPr>
      <w:bookmarkStart w:id="0" w:name="_Toc492369158"/>
      <w:r w:rsidRPr="001316A4">
        <w:rPr>
          <w:rFonts w:ascii="Calibri" w:hAnsi="Calibri" w:cs="Calibri"/>
          <w:bCs w:val="0"/>
          <w:color w:val="000000"/>
          <w:sz w:val="16"/>
          <w:szCs w:val="16"/>
        </w:rPr>
        <w:t>Allegato 1.a)</w:t>
      </w:r>
      <w:bookmarkEnd w:id="0"/>
    </w:p>
    <w:p w:rsidR="000A52FB" w:rsidRPr="009B5624" w:rsidRDefault="000A52FB" w:rsidP="000A52FB">
      <w:pPr>
        <w:autoSpaceDE w:val="0"/>
        <w:autoSpaceDN w:val="0"/>
        <w:adjustRightInd w:val="0"/>
        <w:spacing w:after="0" w:line="240" w:lineRule="auto"/>
        <w:rPr>
          <w:rFonts w:ascii="Calibri" w:hAnsi="Calibri" w:cs="Calibri"/>
          <w:b/>
          <w:bCs/>
          <w:color w:val="000000"/>
          <w:sz w:val="16"/>
          <w:szCs w:val="16"/>
        </w:rPr>
      </w:pPr>
      <w:r w:rsidRPr="001316A4">
        <w:rPr>
          <w:rFonts w:ascii="Calibri" w:hAnsi="Calibri" w:cs="Calibri"/>
          <w:b/>
          <w:bCs/>
          <w:color w:val="000000"/>
          <w:sz w:val="16"/>
          <w:szCs w:val="16"/>
        </w:rPr>
        <w:t>Relazione tecnico – illustrativa</w:t>
      </w:r>
    </w:p>
    <w:p w:rsidR="000A52FB" w:rsidRPr="00EA3D00" w:rsidRDefault="000A52FB" w:rsidP="000A52FB">
      <w:pPr>
        <w:autoSpaceDE w:val="0"/>
        <w:autoSpaceDN w:val="0"/>
        <w:adjustRightInd w:val="0"/>
        <w:spacing w:after="0" w:line="276" w:lineRule="auto"/>
        <w:jc w:val="right"/>
        <w:rPr>
          <w:rFonts w:ascii="Calibri" w:hAnsi="Calibri" w:cs="Calibri"/>
          <w:b/>
          <w:color w:val="000000"/>
          <w:sz w:val="18"/>
          <w:szCs w:val="18"/>
        </w:rPr>
      </w:pPr>
      <w:r w:rsidRPr="00EA3D00">
        <w:rPr>
          <w:rFonts w:ascii="Calibri" w:hAnsi="Calibri" w:cs="Calibri"/>
          <w:b/>
          <w:color w:val="000000"/>
          <w:sz w:val="18"/>
          <w:szCs w:val="18"/>
        </w:rPr>
        <w:t xml:space="preserve">Alla Regione Puglia </w:t>
      </w:r>
    </w:p>
    <w:p w:rsidR="000A52FB" w:rsidRPr="00374438" w:rsidRDefault="000A52FB" w:rsidP="000A52FB">
      <w:pPr>
        <w:autoSpaceDE w:val="0"/>
        <w:autoSpaceDN w:val="0"/>
        <w:adjustRightInd w:val="0"/>
        <w:spacing w:after="0" w:line="276" w:lineRule="auto"/>
        <w:jc w:val="right"/>
        <w:rPr>
          <w:rFonts w:ascii="Calibri" w:hAnsi="Calibri" w:cs="Calibri"/>
          <w:b/>
          <w:color w:val="000000"/>
          <w:sz w:val="18"/>
          <w:szCs w:val="18"/>
        </w:rPr>
      </w:pPr>
      <w:r w:rsidRPr="00374438">
        <w:rPr>
          <w:rFonts w:ascii="Calibri" w:hAnsi="Calibri" w:cs="Calibri"/>
          <w:b/>
          <w:color w:val="000000"/>
          <w:sz w:val="18"/>
          <w:szCs w:val="18"/>
        </w:rPr>
        <w:t xml:space="preserve">Dipartimento Mobilità, Qualità Urbana, Opere Pubbliche, Ecologia e Paesaggio </w:t>
      </w:r>
    </w:p>
    <w:p w:rsidR="000A52FB" w:rsidRPr="00EA3D00" w:rsidRDefault="000A52FB" w:rsidP="000A52FB">
      <w:pPr>
        <w:autoSpaceDE w:val="0"/>
        <w:autoSpaceDN w:val="0"/>
        <w:adjustRightInd w:val="0"/>
        <w:spacing w:after="0" w:line="276" w:lineRule="auto"/>
        <w:jc w:val="right"/>
        <w:rPr>
          <w:rFonts w:ascii="Calibri" w:hAnsi="Calibri" w:cs="Calibri"/>
          <w:b/>
          <w:color w:val="000000"/>
          <w:sz w:val="18"/>
          <w:szCs w:val="18"/>
        </w:rPr>
      </w:pPr>
      <w:r w:rsidRPr="00EA3D00">
        <w:rPr>
          <w:rFonts w:ascii="Calibri" w:hAnsi="Calibri" w:cs="Calibri"/>
          <w:b/>
          <w:color w:val="000000"/>
          <w:sz w:val="18"/>
          <w:szCs w:val="18"/>
        </w:rPr>
        <w:t xml:space="preserve">Sezione Trasporto Pubblico Locale e Grandi Progetti </w:t>
      </w:r>
    </w:p>
    <w:p w:rsidR="000A52FB" w:rsidRPr="00EA3D00" w:rsidRDefault="000A52FB" w:rsidP="000A52FB">
      <w:pPr>
        <w:autoSpaceDE w:val="0"/>
        <w:autoSpaceDN w:val="0"/>
        <w:adjustRightInd w:val="0"/>
        <w:spacing w:after="0" w:line="276" w:lineRule="auto"/>
        <w:jc w:val="right"/>
        <w:rPr>
          <w:rFonts w:ascii="Calibri" w:hAnsi="Calibri" w:cs="Calibri"/>
          <w:b/>
          <w:color w:val="000000"/>
          <w:sz w:val="18"/>
          <w:szCs w:val="18"/>
        </w:rPr>
      </w:pPr>
      <w:r w:rsidRPr="00EA3D00">
        <w:rPr>
          <w:rFonts w:ascii="Calibri" w:hAnsi="Calibri" w:cs="Calibri"/>
          <w:b/>
          <w:color w:val="000000"/>
          <w:sz w:val="18"/>
          <w:szCs w:val="18"/>
        </w:rPr>
        <w:t xml:space="preserve">Via Gentile 52 </w:t>
      </w:r>
    </w:p>
    <w:p w:rsidR="000A52FB" w:rsidRPr="005423C1" w:rsidRDefault="000A52FB" w:rsidP="000A52FB">
      <w:pPr>
        <w:autoSpaceDE w:val="0"/>
        <w:autoSpaceDN w:val="0"/>
        <w:adjustRightInd w:val="0"/>
        <w:spacing w:after="0" w:line="276" w:lineRule="auto"/>
        <w:jc w:val="right"/>
        <w:rPr>
          <w:rFonts w:ascii="Calibri" w:hAnsi="Calibri" w:cs="Calibri"/>
          <w:b/>
          <w:bCs/>
          <w:color w:val="000000"/>
          <w:sz w:val="20"/>
          <w:szCs w:val="20"/>
        </w:rPr>
      </w:pPr>
      <w:r w:rsidRPr="001316A4">
        <w:rPr>
          <w:rFonts w:ascii="Calibri" w:hAnsi="Calibri" w:cs="Calibri"/>
          <w:b/>
          <w:bCs/>
          <w:color w:val="000000"/>
          <w:sz w:val="20"/>
          <w:szCs w:val="20"/>
        </w:rPr>
        <w:t xml:space="preserve">70126 BARI  </w:t>
      </w:r>
    </w:p>
    <w:p w:rsidR="000A52FB" w:rsidRDefault="000A52FB" w:rsidP="000A52FB">
      <w:pPr>
        <w:spacing w:after="0" w:line="276" w:lineRule="auto"/>
        <w:jc w:val="center"/>
        <w:rPr>
          <w:rFonts w:ascii="Calibri" w:hAnsi="Calibri" w:cs="Calibri"/>
          <w:b/>
          <w:color w:val="000000"/>
          <w:sz w:val="18"/>
          <w:szCs w:val="18"/>
        </w:rPr>
      </w:pPr>
    </w:p>
    <w:p w:rsidR="000A52FB" w:rsidRDefault="000A52FB" w:rsidP="000A52FB">
      <w:pPr>
        <w:spacing w:after="0" w:line="276" w:lineRule="auto"/>
        <w:jc w:val="center"/>
        <w:rPr>
          <w:rFonts w:ascii="Calibri" w:hAnsi="Calibri" w:cs="Calibri"/>
          <w:b/>
          <w:color w:val="000000"/>
          <w:sz w:val="18"/>
          <w:szCs w:val="18"/>
        </w:rPr>
      </w:pPr>
      <w:r w:rsidRPr="00EA3D00">
        <w:rPr>
          <w:rFonts w:ascii="Calibri" w:hAnsi="Calibri" w:cs="Calibri"/>
          <w:b/>
          <w:color w:val="000000"/>
          <w:sz w:val="18"/>
          <w:szCs w:val="18"/>
        </w:rPr>
        <w:t>POR PUGLIA</w:t>
      </w:r>
      <w:r w:rsidRPr="00EE4820">
        <w:rPr>
          <w:rFonts w:ascii="Calibri" w:hAnsi="Calibri" w:cs="Calibri"/>
          <w:b/>
          <w:color w:val="000000"/>
          <w:sz w:val="18"/>
          <w:szCs w:val="18"/>
        </w:rPr>
        <w:t xml:space="preserve"> FESR-FSE </w:t>
      </w:r>
      <w:r w:rsidRPr="00EA3D00">
        <w:rPr>
          <w:rFonts w:ascii="Calibri" w:hAnsi="Calibri" w:cs="Calibri"/>
          <w:b/>
          <w:color w:val="000000"/>
          <w:sz w:val="18"/>
          <w:szCs w:val="18"/>
        </w:rPr>
        <w:t xml:space="preserve">2014-2020 </w:t>
      </w:r>
    </w:p>
    <w:p w:rsidR="000A52FB" w:rsidRDefault="000A52FB" w:rsidP="000A52FB">
      <w:pPr>
        <w:spacing w:after="0" w:line="276" w:lineRule="auto"/>
        <w:jc w:val="center"/>
        <w:rPr>
          <w:rFonts w:ascii="Calibri" w:hAnsi="Calibri" w:cs="Calibri"/>
          <w:b/>
          <w:color w:val="000000"/>
          <w:sz w:val="18"/>
          <w:szCs w:val="18"/>
        </w:rPr>
      </w:pPr>
      <w:r w:rsidRPr="00EA3D00">
        <w:rPr>
          <w:rFonts w:ascii="Calibri" w:hAnsi="Calibri" w:cs="Calibri"/>
          <w:b/>
          <w:color w:val="000000"/>
          <w:sz w:val="18"/>
          <w:szCs w:val="18"/>
        </w:rPr>
        <w:t xml:space="preserve"> ASSE VII “sistemi di trasporto e infrastrutture di rete”</w:t>
      </w:r>
    </w:p>
    <w:p w:rsidR="000A52FB" w:rsidRDefault="000A52FB" w:rsidP="000A52FB">
      <w:pPr>
        <w:spacing w:after="0" w:line="276" w:lineRule="auto"/>
        <w:jc w:val="center"/>
        <w:rPr>
          <w:rFonts w:ascii="Calibri" w:hAnsi="Calibri" w:cs="Calibri"/>
          <w:b/>
          <w:color w:val="000000"/>
          <w:sz w:val="18"/>
          <w:szCs w:val="18"/>
        </w:rPr>
      </w:pPr>
      <w:r w:rsidRPr="00EA3D00">
        <w:rPr>
          <w:rFonts w:ascii="Calibri" w:hAnsi="Calibri" w:cs="Calibri"/>
          <w:b/>
          <w:color w:val="000000"/>
          <w:sz w:val="18"/>
          <w:szCs w:val="18"/>
        </w:rPr>
        <w:t>Azione 7.4 “interventi per la competitività del sistema portuale e interp</w:t>
      </w:r>
      <w:r>
        <w:rPr>
          <w:rFonts w:ascii="Calibri" w:hAnsi="Calibri" w:cs="Calibri"/>
          <w:b/>
          <w:color w:val="000000"/>
          <w:sz w:val="18"/>
          <w:szCs w:val="18"/>
        </w:rPr>
        <w:t>ortuale”</w:t>
      </w:r>
    </w:p>
    <w:p w:rsidR="000A52FB" w:rsidRDefault="000A52FB" w:rsidP="00384C0C">
      <w:pPr>
        <w:autoSpaceDE w:val="0"/>
        <w:autoSpaceDN w:val="0"/>
        <w:adjustRightInd w:val="0"/>
        <w:spacing w:afterLines="80" w:line="276" w:lineRule="auto"/>
        <w:jc w:val="both"/>
        <w:rPr>
          <w:rFonts w:ascii="Calibri" w:hAnsi="Calibri" w:cs="Calibri"/>
          <w:b/>
          <w:bCs/>
          <w:color w:val="000000"/>
          <w:sz w:val="20"/>
          <w:szCs w:val="20"/>
        </w:rPr>
      </w:pPr>
    </w:p>
    <w:p w:rsidR="000A52FB" w:rsidRDefault="000A52FB" w:rsidP="000A52FB">
      <w:pPr>
        <w:spacing w:after="192" w:line="240" w:lineRule="auto"/>
        <w:jc w:val="both"/>
        <w:rPr>
          <w:rFonts w:ascii="Calibri" w:hAnsi="Calibri" w:cs="Calibri"/>
          <w:b/>
          <w:bCs/>
          <w:color w:val="000000"/>
          <w:sz w:val="20"/>
          <w:szCs w:val="20"/>
        </w:rPr>
      </w:pPr>
      <w:r w:rsidRPr="003B38DB">
        <w:rPr>
          <w:rFonts w:ascii="Calibri" w:hAnsi="Calibri" w:cs="Calibri"/>
          <w:b/>
          <w:bCs/>
          <w:color w:val="000000"/>
          <w:sz w:val="20"/>
          <w:szCs w:val="20"/>
        </w:rPr>
        <w:t xml:space="preserve">Oggetto: </w:t>
      </w:r>
      <w:r>
        <w:rPr>
          <w:rFonts w:ascii="Calibri" w:hAnsi="Calibri" w:cs="Calibri"/>
          <w:b/>
          <w:bCs/>
          <w:color w:val="000000"/>
          <w:sz w:val="20"/>
          <w:szCs w:val="20"/>
        </w:rPr>
        <w:t xml:space="preserve">  </w:t>
      </w:r>
      <w:r w:rsidRPr="001316A4">
        <w:rPr>
          <w:rFonts w:ascii="Calibri" w:hAnsi="Calibri" w:cs="Calibri"/>
          <w:b/>
          <w:bCs/>
          <w:color w:val="000000"/>
          <w:sz w:val="20"/>
          <w:szCs w:val="20"/>
        </w:rPr>
        <w:t xml:space="preserve">Avviso Pubblico di selezione di “Interventi di dragaggio dei fondali marini unitamente alla gestione dei sedimenti estratti”. </w:t>
      </w:r>
    </w:p>
    <w:p w:rsidR="000A52FB" w:rsidRDefault="000A52FB" w:rsidP="000A52FB">
      <w:pPr>
        <w:spacing w:after="192" w:line="240" w:lineRule="auto"/>
        <w:ind w:left="851"/>
        <w:jc w:val="both"/>
        <w:rPr>
          <w:rFonts w:ascii="Calibri" w:hAnsi="Calibri" w:cs="Calibri"/>
          <w:b/>
          <w:bCs/>
          <w:color w:val="000000"/>
          <w:sz w:val="20"/>
          <w:szCs w:val="20"/>
        </w:rPr>
      </w:pPr>
      <w:r w:rsidRPr="003B38DB">
        <w:rPr>
          <w:rFonts w:ascii="Calibri" w:hAnsi="Calibri" w:cs="Calibri"/>
          <w:b/>
          <w:bCs/>
          <w:color w:val="000000"/>
          <w:sz w:val="20"/>
          <w:szCs w:val="20"/>
        </w:rPr>
        <w:t xml:space="preserve">Relazione tecnico illustrativa di </w:t>
      </w:r>
      <w:r w:rsidRPr="001316A4">
        <w:rPr>
          <w:rFonts w:ascii="Calibri" w:hAnsi="Calibri" w:cs="Calibri"/>
          <w:b/>
          <w:bCs/>
          <w:color w:val="000000"/>
          <w:sz w:val="20"/>
          <w:szCs w:val="20"/>
        </w:rPr>
        <w:t>sintesi dell’intervento, al cui interno devono essere riportati gli elementi qualificanti della proposta, in stretta relazione con i criteri di valutazione dell’intervento riportati all’articolo 9 dell’Avviso, nonché tutti gli elementi necessari alla medesima valutazione.</w:t>
      </w:r>
    </w:p>
    <w:p w:rsidR="000A52FB" w:rsidRDefault="000A52FB" w:rsidP="000A52FB">
      <w:pPr>
        <w:spacing w:after="192" w:line="240" w:lineRule="auto"/>
        <w:ind w:left="851"/>
        <w:jc w:val="both"/>
        <w:rPr>
          <w:rFonts w:ascii="Calibri" w:hAnsi="Calibri" w:cs="Calibri"/>
          <w:b/>
          <w:bCs/>
          <w:color w:val="000000"/>
          <w:sz w:val="20"/>
          <w:szCs w:val="20"/>
        </w:rPr>
      </w:pPr>
    </w:p>
    <w:p w:rsidR="000A52FB" w:rsidRDefault="000A52FB" w:rsidP="000A52FB">
      <w:pPr>
        <w:autoSpaceDE w:val="0"/>
        <w:autoSpaceDN w:val="0"/>
        <w:adjustRightInd w:val="0"/>
        <w:spacing w:after="0" w:line="240" w:lineRule="auto"/>
        <w:rPr>
          <w:rFonts w:ascii="Calibri" w:hAnsi="Calibri" w:cs="Calibri"/>
          <w:b/>
          <w:bCs/>
          <w:color w:val="000000"/>
          <w:sz w:val="20"/>
          <w:szCs w:val="20"/>
        </w:rPr>
      </w:pPr>
    </w:p>
    <w:tbl>
      <w:tblPr>
        <w:tblStyle w:val="Grigliatabel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6117"/>
        <w:gridCol w:w="5972"/>
      </w:tblGrid>
      <w:tr w:rsidR="000A52FB" w:rsidTr="00EF24EB">
        <w:trPr>
          <w:trHeight w:val="781"/>
        </w:trPr>
        <w:tc>
          <w:tcPr>
            <w:tcW w:w="832" w:type="pct"/>
            <w:vAlign w:val="center"/>
          </w:tcPr>
          <w:p w:rsidR="000A52FB" w:rsidRDefault="000A52FB" w:rsidP="00EF24EB">
            <w:pPr>
              <w:autoSpaceDE w:val="0"/>
              <w:autoSpaceDN w:val="0"/>
              <w:adjustRightInd w:val="0"/>
              <w:spacing w:after="192"/>
              <w:jc w:val="center"/>
              <w:rPr>
                <w:rFonts w:eastAsia="Times New Roman"/>
                <w:b/>
                <w:sz w:val="16"/>
                <w:szCs w:val="18"/>
                <w:lang w:eastAsia="it-IT"/>
              </w:rPr>
            </w:pPr>
            <w:r w:rsidRPr="003464C6">
              <w:rPr>
                <w:rFonts w:eastAsia="Times New Roman"/>
                <w:b/>
                <w:sz w:val="16"/>
                <w:szCs w:val="18"/>
                <w:lang w:eastAsia="it-IT"/>
              </w:rPr>
              <w:t>CRITERIO</w:t>
            </w:r>
            <w:r>
              <w:rPr>
                <w:rFonts w:eastAsia="Times New Roman"/>
                <w:b/>
                <w:sz w:val="16"/>
                <w:szCs w:val="18"/>
                <w:lang w:eastAsia="it-IT"/>
              </w:rPr>
              <w:t xml:space="preserve"> </w:t>
            </w:r>
            <w:proofErr w:type="spellStart"/>
            <w:r>
              <w:rPr>
                <w:rFonts w:eastAsia="Times New Roman"/>
                <w:b/>
                <w:sz w:val="16"/>
                <w:szCs w:val="18"/>
                <w:lang w:eastAsia="it-IT"/>
              </w:rPr>
              <w:t>DI</w:t>
            </w:r>
            <w:proofErr w:type="spellEnd"/>
            <w:r>
              <w:rPr>
                <w:rFonts w:eastAsia="Times New Roman"/>
                <w:b/>
                <w:sz w:val="16"/>
                <w:szCs w:val="18"/>
                <w:lang w:eastAsia="it-IT"/>
              </w:rPr>
              <w:t xml:space="preserve"> VALUTAZIONE</w:t>
            </w:r>
          </w:p>
        </w:tc>
        <w:tc>
          <w:tcPr>
            <w:tcW w:w="2109" w:type="pct"/>
            <w:vAlign w:val="center"/>
          </w:tcPr>
          <w:p w:rsidR="000A52FB" w:rsidRDefault="000A52FB" w:rsidP="00EF24EB">
            <w:pPr>
              <w:autoSpaceDE w:val="0"/>
              <w:autoSpaceDN w:val="0"/>
              <w:adjustRightInd w:val="0"/>
              <w:spacing w:after="192"/>
              <w:jc w:val="center"/>
              <w:rPr>
                <w:rFonts w:eastAsia="Times New Roman"/>
                <w:b/>
                <w:sz w:val="16"/>
                <w:szCs w:val="18"/>
                <w:lang w:eastAsia="it-IT"/>
              </w:rPr>
            </w:pPr>
            <w:r>
              <w:rPr>
                <w:rFonts w:eastAsia="Times New Roman"/>
                <w:b/>
                <w:sz w:val="16"/>
                <w:szCs w:val="18"/>
                <w:lang w:eastAsia="it-IT"/>
              </w:rPr>
              <w:t>INDICATORI</w:t>
            </w:r>
          </w:p>
        </w:tc>
        <w:tc>
          <w:tcPr>
            <w:tcW w:w="2059" w:type="pct"/>
            <w:vAlign w:val="center"/>
          </w:tcPr>
          <w:p w:rsidR="000A52FB" w:rsidRDefault="000A52FB" w:rsidP="00EF24EB">
            <w:pPr>
              <w:autoSpaceDE w:val="0"/>
              <w:autoSpaceDN w:val="0"/>
              <w:adjustRightInd w:val="0"/>
              <w:spacing w:after="192"/>
              <w:jc w:val="center"/>
              <w:rPr>
                <w:rFonts w:eastAsia="Times New Roman"/>
                <w:b/>
                <w:sz w:val="16"/>
                <w:szCs w:val="18"/>
                <w:lang w:eastAsia="it-IT"/>
              </w:rPr>
            </w:pPr>
            <w:r>
              <w:rPr>
                <w:rFonts w:eastAsia="Times New Roman"/>
                <w:b/>
                <w:sz w:val="16"/>
                <w:szCs w:val="18"/>
                <w:lang w:eastAsia="it-IT"/>
              </w:rPr>
              <w:t>DESCRIZIONE</w:t>
            </w:r>
          </w:p>
          <w:p w:rsidR="000A52FB" w:rsidRDefault="000A52FB" w:rsidP="00384C0C">
            <w:pPr>
              <w:widowControl w:val="0"/>
              <w:autoSpaceDE w:val="0"/>
              <w:autoSpaceDN w:val="0"/>
              <w:adjustRightInd w:val="0"/>
              <w:spacing w:after="192" w:line="360" w:lineRule="auto"/>
              <w:ind w:left="454"/>
              <w:jc w:val="center"/>
              <w:rPr>
                <w:rFonts w:eastAsia="Times New Roman"/>
                <w:i/>
                <w:sz w:val="16"/>
                <w:szCs w:val="18"/>
                <w:lang w:eastAsia="it-IT"/>
              </w:rPr>
            </w:pPr>
            <w:r w:rsidRPr="001316A4">
              <w:rPr>
                <w:rFonts w:eastAsia="Times New Roman"/>
                <w:i/>
                <w:sz w:val="16"/>
                <w:szCs w:val="18"/>
                <w:lang w:eastAsia="it-IT"/>
              </w:rPr>
              <w:t>(</w:t>
            </w:r>
            <w:proofErr w:type="spellStart"/>
            <w:r w:rsidRPr="001316A4">
              <w:rPr>
                <w:rFonts w:eastAsia="Times New Roman"/>
                <w:i/>
                <w:sz w:val="16"/>
                <w:szCs w:val="18"/>
                <w:lang w:eastAsia="it-IT"/>
              </w:rPr>
              <w:t>max</w:t>
            </w:r>
            <w:proofErr w:type="spellEnd"/>
            <w:r w:rsidRPr="001316A4">
              <w:rPr>
                <w:rFonts w:eastAsia="Times New Roman"/>
                <w:i/>
                <w:sz w:val="16"/>
                <w:szCs w:val="18"/>
                <w:lang w:eastAsia="it-IT"/>
              </w:rPr>
              <w:t xml:space="preserve"> 6500 </w:t>
            </w:r>
            <w:r w:rsidR="00384C0C">
              <w:rPr>
                <w:rFonts w:eastAsia="Times New Roman"/>
                <w:i/>
                <w:sz w:val="16"/>
                <w:szCs w:val="18"/>
                <w:lang w:eastAsia="it-IT"/>
              </w:rPr>
              <w:t>caratteri</w:t>
            </w:r>
            <w:r w:rsidRPr="001316A4">
              <w:rPr>
                <w:rFonts w:eastAsia="Times New Roman"/>
                <w:i/>
                <w:sz w:val="16"/>
                <w:szCs w:val="18"/>
                <w:lang w:eastAsia="it-IT"/>
              </w:rPr>
              <w:t xml:space="preserve"> spazi inclusi per sezione)</w:t>
            </w:r>
          </w:p>
        </w:tc>
      </w:tr>
      <w:tr w:rsidR="000A52FB" w:rsidTr="00EF24EB">
        <w:trPr>
          <w:cantSplit/>
          <w:trHeight w:val="1047"/>
        </w:trPr>
        <w:tc>
          <w:tcPr>
            <w:tcW w:w="832" w:type="pct"/>
            <w:vMerge w:val="restart"/>
            <w:vAlign w:val="center"/>
          </w:tcPr>
          <w:p w:rsidR="000A52FB" w:rsidRDefault="000A52FB" w:rsidP="00384C0C">
            <w:pPr>
              <w:autoSpaceDE w:val="0"/>
              <w:autoSpaceDN w:val="0"/>
              <w:adjustRightInd w:val="0"/>
              <w:spacing w:afterLines="80" w:line="276" w:lineRule="auto"/>
              <w:jc w:val="center"/>
              <w:rPr>
                <w:rFonts w:ascii="Arial" w:eastAsia="Times New Roman" w:hAnsi="Arial" w:cs="Arial"/>
                <w:b/>
                <w:sz w:val="18"/>
                <w:szCs w:val="18"/>
                <w:lang w:eastAsia="it-IT"/>
              </w:rPr>
            </w:pPr>
            <w:r w:rsidRPr="003464C6">
              <w:rPr>
                <w:rFonts w:eastAsia="Times New Roman"/>
                <w:b/>
                <w:sz w:val="16"/>
                <w:szCs w:val="18"/>
                <w:lang w:eastAsia="it-IT"/>
              </w:rPr>
              <w:t>Capacit</w:t>
            </w:r>
            <w:r>
              <w:rPr>
                <w:rFonts w:eastAsia="Times New Roman"/>
                <w:b/>
                <w:sz w:val="16"/>
                <w:szCs w:val="18"/>
                <w:lang w:eastAsia="it-IT"/>
              </w:rPr>
              <w:t>à</w:t>
            </w:r>
            <w:r w:rsidRPr="003464C6">
              <w:rPr>
                <w:rFonts w:eastAsia="Times New Roman"/>
                <w:b/>
                <w:sz w:val="16"/>
                <w:szCs w:val="18"/>
                <w:lang w:eastAsia="it-IT"/>
              </w:rPr>
              <w:t xml:space="preserve"> di migliorare l’accessibilit</w:t>
            </w:r>
            <w:r>
              <w:rPr>
                <w:rFonts w:eastAsia="Times New Roman"/>
                <w:b/>
                <w:sz w:val="16"/>
                <w:szCs w:val="18"/>
                <w:lang w:eastAsia="it-IT"/>
              </w:rPr>
              <w:t>à</w:t>
            </w:r>
            <w:r w:rsidRPr="003464C6">
              <w:rPr>
                <w:rFonts w:eastAsia="Times New Roman"/>
                <w:b/>
                <w:sz w:val="16"/>
                <w:szCs w:val="18"/>
                <w:lang w:eastAsia="it-IT"/>
              </w:rPr>
              <w:t xml:space="preserve"> alle  aree portual</w:t>
            </w:r>
            <w:r>
              <w:rPr>
                <w:rFonts w:eastAsia="Times New Roman"/>
                <w:b/>
                <w:sz w:val="16"/>
                <w:szCs w:val="18"/>
                <w:lang w:eastAsia="it-IT"/>
              </w:rPr>
              <w:t>i</w:t>
            </w:r>
          </w:p>
        </w:tc>
        <w:tc>
          <w:tcPr>
            <w:tcW w:w="2109" w:type="pct"/>
            <w:vAlign w:val="center"/>
          </w:tcPr>
          <w:p w:rsidR="000A52FB" w:rsidRDefault="000A52FB" w:rsidP="00384C0C">
            <w:pPr>
              <w:autoSpaceDE w:val="0"/>
              <w:autoSpaceDN w:val="0"/>
              <w:adjustRightInd w:val="0"/>
              <w:spacing w:afterLines="80" w:line="276" w:lineRule="auto"/>
              <w:jc w:val="both"/>
              <w:rPr>
                <w:rFonts w:ascii="Arial" w:eastAsia="Times New Roman" w:hAnsi="Arial" w:cs="Arial"/>
                <w:sz w:val="16"/>
                <w:szCs w:val="18"/>
                <w:lang w:eastAsia="it-IT"/>
              </w:rPr>
            </w:pPr>
            <w:r w:rsidRPr="003464C6">
              <w:rPr>
                <w:rFonts w:eastAsia="Times New Roman"/>
                <w:sz w:val="16"/>
                <w:szCs w:val="18"/>
                <w:lang w:eastAsia="it-IT"/>
              </w:rPr>
              <w:t xml:space="preserve">A.1 – </w:t>
            </w:r>
            <w:r>
              <w:rPr>
                <w:rFonts w:eastAsia="Times New Roman"/>
                <w:sz w:val="16"/>
                <w:szCs w:val="18"/>
                <w:lang w:eastAsia="it-IT"/>
              </w:rPr>
              <w:t>C</w:t>
            </w:r>
            <w:r w:rsidRPr="003464C6">
              <w:rPr>
                <w:rFonts w:eastAsia="Times New Roman"/>
                <w:sz w:val="16"/>
                <w:szCs w:val="18"/>
                <w:lang w:eastAsia="it-IT"/>
              </w:rPr>
              <w:t>apacità del progetto di conseguire incrementi misurabili  dei parametri prestazionali del porto in termini di accessibilità via mare ed in termini di MQ di superficie portuale interessata dagli interventi di adeguamento e potenziamento</w:t>
            </w:r>
            <w:r>
              <w:rPr>
                <w:rFonts w:eastAsia="Times New Roman"/>
                <w:sz w:val="16"/>
                <w:szCs w:val="18"/>
                <w:lang w:eastAsia="it-IT"/>
              </w:rPr>
              <w:t>.</w:t>
            </w:r>
          </w:p>
        </w:tc>
        <w:tc>
          <w:tcPr>
            <w:tcW w:w="2059" w:type="pct"/>
            <w:vAlign w:val="center"/>
          </w:tcPr>
          <w:p w:rsidR="000A52FB" w:rsidRDefault="000A52FB" w:rsidP="00384C0C">
            <w:pPr>
              <w:autoSpaceDE w:val="0"/>
              <w:autoSpaceDN w:val="0"/>
              <w:adjustRightInd w:val="0"/>
              <w:spacing w:afterLines="80" w:line="276" w:lineRule="auto"/>
              <w:jc w:val="center"/>
              <w:rPr>
                <w:rFonts w:asciiTheme="majorHAnsi" w:eastAsia="Times New Roman" w:hAnsiTheme="majorHAnsi" w:cstheme="majorBidi"/>
                <w:b/>
                <w:bCs/>
                <w:color w:val="4F81BD" w:themeColor="accent1"/>
                <w:sz w:val="16"/>
                <w:szCs w:val="18"/>
                <w:lang w:eastAsia="it-IT"/>
              </w:rPr>
            </w:pPr>
          </w:p>
        </w:tc>
      </w:tr>
      <w:tr w:rsidR="000A52FB" w:rsidTr="00EF24EB">
        <w:trPr>
          <w:cantSplit/>
          <w:trHeight w:val="694"/>
        </w:trPr>
        <w:tc>
          <w:tcPr>
            <w:tcW w:w="832" w:type="pct"/>
            <w:vMerge/>
            <w:vAlign w:val="bottom"/>
          </w:tcPr>
          <w:p w:rsidR="000A52FB" w:rsidRDefault="000A52FB" w:rsidP="00384C0C">
            <w:pPr>
              <w:autoSpaceDE w:val="0"/>
              <w:autoSpaceDN w:val="0"/>
              <w:adjustRightInd w:val="0"/>
              <w:spacing w:afterLines="80" w:line="276" w:lineRule="auto"/>
              <w:jc w:val="center"/>
              <w:rPr>
                <w:rFonts w:asciiTheme="majorHAnsi" w:eastAsia="Times New Roman" w:hAnsiTheme="majorHAnsi" w:cstheme="majorBidi"/>
                <w:b/>
                <w:bCs/>
                <w:color w:val="4F81BD" w:themeColor="accent1"/>
                <w:sz w:val="16"/>
                <w:szCs w:val="18"/>
                <w:lang w:eastAsia="it-IT"/>
              </w:rPr>
            </w:pPr>
          </w:p>
        </w:tc>
        <w:tc>
          <w:tcPr>
            <w:tcW w:w="2109" w:type="pct"/>
            <w:vAlign w:val="center"/>
          </w:tcPr>
          <w:p w:rsidR="000A52FB" w:rsidRDefault="000A52FB" w:rsidP="00384C0C">
            <w:pPr>
              <w:autoSpaceDE w:val="0"/>
              <w:autoSpaceDN w:val="0"/>
              <w:adjustRightInd w:val="0"/>
              <w:spacing w:afterLines="80" w:line="276" w:lineRule="auto"/>
              <w:jc w:val="both"/>
              <w:rPr>
                <w:rFonts w:ascii="Arial" w:eastAsia="Times New Roman" w:hAnsi="Arial" w:cs="Arial"/>
                <w:sz w:val="16"/>
                <w:szCs w:val="18"/>
                <w:lang w:eastAsia="it-IT"/>
              </w:rPr>
            </w:pPr>
            <w:r w:rsidRPr="003464C6">
              <w:rPr>
                <w:rFonts w:eastAsia="Times New Roman"/>
                <w:sz w:val="16"/>
                <w:szCs w:val="18"/>
                <w:lang w:eastAsia="it-IT"/>
              </w:rPr>
              <w:t xml:space="preserve">A.2 – </w:t>
            </w:r>
            <w:r>
              <w:rPr>
                <w:rFonts w:eastAsia="Times New Roman"/>
                <w:sz w:val="16"/>
                <w:szCs w:val="18"/>
                <w:lang w:eastAsia="it-IT"/>
              </w:rPr>
              <w:t>R</w:t>
            </w:r>
            <w:r w:rsidRPr="003464C6">
              <w:rPr>
                <w:rFonts w:eastAsia="Times New Roman"/>
                <w:sz w:val="16"/>
                <w:szCs w:val="18"/>
                <w:lang w:eastAsia="it-IT"/>
              </w:rPr>
              <w:t>apporto tra i livelli batimetrici del progetto di dragaggio rispetto a quelli previsti in origine dal progetto del porto</w:t>
            </w:r>
            <w:r>
              <w:rPr>
                <w:rFonts w:eastAsia="Times New Roman"/>
                <w:sz w:val="16"/>
                <w:szCs w:val="18"/>
                <w:lang w:eastAsia="it-IT"/>
              </w:rPr>
              <w:t>.</w:t>
            </w:r>
          </w:p>
        </w:tc>
        <w:tc>
          <w:tcPr>
            <w:tcW w:w="2059" w:type="pct"/>
            <w:vAlign w:val="center"/>
          </w:tcPr>
          <w:p w:rsidR="000A52FB" w:rsidRDefault="000A52FB" w:rsidP="00384C0C">
            <w:pPr>
              <w:autoSpaceDE w:val="0"/>
              <w:autoSpaceDN w:val="0"/>
              <w:adjustRightInd w:val="0"/>
              <w:spacing w:afterLines="80" w:line="276" w:lineRule="auto"/>
              <w:jc w:val="center"/>
              <w:rPr>
                <w:rFonts w:asciiTheme="majorHAnsi" w:eastAsia="Times New Roman" w:hAnsiTheme="majorHAnsi" w:cstheme="majorBidi"/>
                <w:b/>
                <w:bCs/>
                <w:color w:val="4F81BD" w:themeColor="accent1"/>
                <w:sz w:val="16"/>
                <w:szCs w:val="18"/>
                <w:lang w:eastAsia="it-IT"/>
              </w:rPr>
            </w:pPr>
          </w:p>
        </w:tc>
      </w:tr>
      <w:tr w:rsidR="000A52FB" w:rsidTr="00EF24EB">
        <w:trPr>
          <w:cantSplit/>
          <w:trHeight w:val="1540"/>
        </w:trPr>
        <w:tc>
          <w:tcPr>
            <w:tcW w:w="832" w:type="pct"/>
            <w:vMerge/>
            <w:vAlign w:val="bottom"/>
          </w:tcPr>
          <w:p w:rsidR="000A52FB" w:rsidRDefault="000A52FB" w:rsidP="00384C0C">
            <w:pPr>
              <w:autoSpaceDE w:val="0"/>
              <w:autoSpaceDN w:val="0"/>
              <w:adjustRightInd w:val="0"/>
              <w:spacing w:afterLines="80" w:line="276" w:lineRule="auto"/>
              <w:jc w:val="center"/>
              <w:rPr>
                <w:rFonts w:asciiTheme="majorHAnsi" w:eastAsia="Times New Roman" w:hAnsiTheme="majorHAnsi" w:cstheme="majorBidi"/>
                <w:b/>
                <w:bCs/>
                <w:color w:val="4F81BD" w:themeColor="accent1"/>
                <w:sz w:val="16"/>
                <w:szCs w:val="18"/>
                <w:lang w:eastAsia="it-IT"/>
              </w:rPr>
            </w:pPr>
          </w:p>
        </w:tc>
        <w:tc>
          <w:tcPr>
            <w:tcW w:w="2109" w:type="pct"/>
            <w:vAlign w:val="center"/>
          </w:tcPr>
          <w:p w:rsidR="000A52FB" w:rsidRDefault="000A52FB" w:rsidP="00384C0C">
            <w:pPr>
              <w:autoSpaceDE w:val="0"/>
              <w:autoSpaceDN w:val="0"/>
              <w:adjustRightInd w:val="0"/>
              <w:spacing w:afterLines="80" w:line="276" w:lineRule="auto"/>
              <w:jc w:val="both"/>
              <w:rPr>
                <w:rFonts w:ascii="Arial" w:eastAsia="Times New Roman" w:hAnsi="Arial" w:cs="Arial"/>
                <w:sz w:val="16"/>
                <w:szCs w:val="18"/>
                <w:lang w:eastAsia="it-IT"/>
              </w:rPr>
            </w:pPr>
            <w:r w:rsidRPr="003464C6">
              <w:rPr>
                <w:rFonts w:eastAsia="Times New Roman"/>
                <w:sz w:val="16"/>
                <w:szCs w:val="18"/>
                <w:lang w:eastAsia="it-IT"/>
              </w:rPr>
              <w:t xml:space="preserve">A.3 - </w:t>
            </w:r>
            <w:r>
              <w:rPr>
                <w:rFonts w:eastAsia="Times New Roman"/>
                <w:sz w:val="16"/>
                <w:szCs w:val="18"/>
                <w:lang w:eastAsia="it-IT"/>
              </w:rPr>
              <w:t>G</w:t>
            </w:r>
            <w:r w:rsidRPr="003464C6">
              <w:rPr>
                <w:rFonts w:eastAsia="Times New Roman"/>
                <w:sz w:val="16"/>
                <w:szCs w:val="18"/>
                <w:lang w:eastAsia="it-IT"/>
              </w:rPr>
              <w:t>rado di accessibilità ai pontili fissi e relative strutture di accesso; aumento della capacità degli spazi acquei di manovra per le imbarcazioni; ampliamento degli spazi e del numero dei posti barca, ampliamento delle categorie di imbarcazioni ospitabili, miglioramento dell’operatività dei cantieri nautici fruitori dello spazio acqueo, miglioramento dei servizi degli impianti di alaggio e varo, fruibilità degli spazi per base tecnica e di servizio alle imbarcazioni.</w:t>
            </w:r>
          </w:p>
        </w:tc>
        <w:tc>
          <w:tcPr>
            <w:tcW w:w="2059" w:type="pct"/>
            <w:vAlign w:val="center"/>
          </w:tcPr>
          <w:p w:rsidR="000A52FB" w:rsidRDefault="000A52FB" w:rsidP="00384C0C">
            <w:pPr>
              <w:autoSpaceDE w:val="0"/>
              <w:autoSpaceDN w:val="0"/>
              <w:adjustRightInd w:val="0"/>
              <w:spacing w:afterLines="80" w:line="276" w:lineRule="auto"/>
              <w:jc w:val="center"/>
              <w:rPr>
                <w:rFonts w:asciiTheme="majorHAnsi" w:eastAsia="Times New Roman" w:hAnsiTheme="majorHAnsi" w:cstheme="majorBidi"/>
                <w:b/>
                <w:bCs/>
                <w:color w:val="4F81BD" w:themeColor="accent1"/>
                <w:sz w:val="16"/>
                <w:szCs w:val="18"/>
                <w:lang w:eastAsia="it-IT"/>
              </w:rPr>
            </w:pPr>
          </w:p>
        </w:tc>
      </w:tr>
      <w:tr w:rsidR="000A52FB" w:rsidRPr="003464C6" w:rsidTr="00EF24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616"/>
        </w:trPr>
        <w:tc>
          <w:tcPr>
            <w:tcW w:w="832" w:type="pct"/>
            <w:vMerge w:val="restart"/>
            <w:vAlign w:val="center"/>
          </w:tcPr>
          <w:p w:rsidR="000A52FB" w:rsidRDefault="000A52FB" w:rsidP="00384C0C">
            <w:pPr>
              <w:autoSpaceDE w:val="0"/>
              <w:autoSpaceDN w:val="0"/>
              <w:adjustRightInd w:val="0"/>
              <w:spacing w:afterLines="80" w:line="276" w:lineRule="auto"/>
              <w:jc w:val="center"/>
              <w:rPr>
                <w:rFonts w:ascii="Arial" w:eastAsia="Times New Roman" w:hAnsi="Arial" w:cs="Arial"/>
                <w:b/>
                <w:sz w:val="16"/>
                <w:szCs w:val="18"/>
                <w:lang w:eastAsia="it-IT"/>
              </w:rPr>
            </w:pPr>
            <w:r w:rsidRPr="003464C6">
              <w:rPr>
                <w:rFonts w:eastAsia="Times New Roman"/>
                <w:b/>
                <w:sz w:val="16"/>
                <w:szCs w:val="18"/>
                <w:lang w:eastAsia="it-IT"/>
              </w:rPr>
              <w:lastRenderedPageBreak/>
              <w:t>Qualità della progettazione</w:t>
            </w:r>
          </w:p>
        </w:tc>
        <w:tc>
          <w:tcPr>
            <w:tcW w:w="2109" w:type="pct"/>
            <w:vAlign w:val="center"/>
          </w:tcPr>
          <w:p w:rsidR="000A52FB" w:rsidRDefault="000A52FB" w:rsidP="00384C0C">
            <w:pPr>
              <w:autoSpaceDE w:val="0"/>
              <w:autoSpaceDN w:val="0"/>
              <w:adjustRightInd w:val="0"/>
              <w:spacing w:afterLines="80" w:line="276" w:lineRule="auto"/>
              <w:rPr>
                <w:rFonts w:ascii="Arial" w:eastAsia="Times New Roman" w:hAnsi="Arial" w:cs="Arial"/>
                <w:sz w:val="16"/>
                <w:szCs w:val="18"/>
                <w:lang w:eastAsia="it-IT"/>
              </w:rPr>
            </w:pPr>
            <w:r w:rsidRPr="003464C6">
              <w:rPr>
                <w:rFonts w:eastAsia="Times New Roman"/>
                <w:sz w:val="16"/>
                <w:szCs w:val="18"/>
                <w:lang w:eastAsia="it-IT"/>
              </w:rPr>
              <w:t xml:space="preserve">B.1 - </w:t>
            </w:r>
            <w:r>
              <w:rPr>
                <w:rFonts w:eastAsia="Times New Roman"/>
                <w:sz w:val="16"/>
                <w:szCs w:val="18"/>
                <w:lang w:eastAsia="it-IT"/>
              </w:rPr>
              <w:t>L</w:t>
            </w:r>
            <w:r w:rsidRPr="003464C6">
              <w:rPr>
                <w:rFonts w:eastAsia="Times New Roman"/>
                <w:sz w:val="16"/>
                <w:szCs w:val="18"/>
                <w:lang w:eastAsia="it-IT"/>
              </w:rPr>
              <w:t>ivello di approfondimento tecnico della proposta progettuale</w:t>
            </w:r>
            <w:r>
              <w:rPr>
                <w:rFonts w:eastAsia="Times New Roman"/>
                <w:sz w:val="16"/>
                <w:szCs w:val="18"/>
                <w:lang w:eastAsia="it-IT"/>
              </w:rPr>
              <w:t>.</w:t>
            </w:r>
          </w:p>
        </w:tc>
        <w:tc>
          <w:tcPr>
            <w:tcW w:w="2059" w:type="pct"/>
            <w:vAlign w:val="center"/>
          </w:tcPr>
          <w:p w:rsidR="000A52FB" w:rsidRDefault="000A52FB" w:rsidP="00384C0C">
            <w:pPr>
              <w:autoSpaceDE w:val="0"/>
              <w:autoSpaceDN w:val="0"/>
              <w:adjustRightInd w:val="0"/>
              <w:spacing w:afterLines="80" w:line="276" w:lineRule="auto"/>
              <w:jc w:val="center"/>
              <w:rPr>
                <w:rFonts w:eastAsia="Times New Roman"/>
                <w:sz w:val="16"/>
                <w:szCs w:val="18"/>
                <w:lang w:eastAsia="it-IT"/>
              </w:rPr>
            </w:pPr>
          </w:p>
        </w:tc>
      </w:tr>
      <w:tr w:rsidR="000A52FB" w:rsidRPr="003464C6" w:rsidTr="00EF24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133"/>
        </w:trPr>
        <w:tc>
          <w:tcPr>
            <w:tcW w:w="832" w:type="pct"/>
            <w:vMerge/>
            <w:vAlign w:val="center"/>
          </w:tcPr>
          <w:p w:rsidR="000A52FB" w:rsidRDefault="000A52FB" w:rsidP="00384C0C">
            <w:pPr>
              <w:autoSpaceDE w:val="0"/>
              <w:autoSpaceDN w:val="0"/>
              <w:adjustRightInd w:val="0"/>
              <w:spacing w:afterLines="80" w:line="276" w:lineRule="auto"/>
              <w:jc w:val="center"/>
              <w:rPr>
                <w:rFonts w:eastAsia="Times New Roman"/>
                <w:b/>
                <w:sz w:val="16"/>
                <w:szCs w:val="18"/>
                <w:lang w:eastAsia="it-IT"/>
              </w:rPr>
            </w:pPr>
          </w:p>
        </w:tc>
        <w:tc>
          <w:tcPr>
            <w:tcW w:w="2109" w:type="pct"/>
            <w:vAlign w:val="center"/>
          </w:tcPr>
          <w:p w:rsidR="000A52FB" w:rsidRDefault="000A52FB" w:rsidP="00384C0C">
            <w:pPr>
              <w:autoSpaceDE w:val="0"/>
              <w:autoSpaceDN w:val="0"/>
              <w:adjustRightInd w:val="0"/>
              <w:spacing w:afterLines="80" w:line="276" w:lineRule="auto"/>
              <w:rPr>
                <w:rFonts w:ascii="Arial" w:eastAsia="Times New Roman" w:hAnsi="Arial" w:cs="Arial"/>
                <w:sz w:val="16"/>
                <w:szCs w:val="18"/>
                <w:lang w:eastAsia="it-IT"/>
              </w:rPr>
            </w:pPr>
            <w:r w:rsidRPr="003464C6">
              <w:rPr>
                <w:rFonts w:eastAsia="Times New Roman"/>
                <w:sz w:val="16"/>
                <w:szCs w:val="18"/>
                <w:lang w:eastAsia="it-IT"/>
              </w:rPr>
              <w:t>B.</w:t>
            </w:r>
            <w:r>
              <w:rPr>
                <w:rFonts w:eastAsia="Times New Roman"/>
                <w:sz w:val="16"/>
                <w:szCs w:val="18"/>
                <w:lang w:eastAsia="it-IT"/>
              </w:rPr>
              <w:t>2</w:t>
            </w:r>
            <w:r w:rsidRPr="003464C6">
              <w:rPr>
                <w:rFonts w:eastAsia="Times New Roman"/>
                <w:sz w:val="16"/>
                <w:szCs w:val="18"/>
                <w:lang w:eastAsia="it-IT"/>
              </w:rPr>
              <w:t xml:space="preserve"> - </w:t>
            </w:r>
            <w:r>
              <w:rPr>
                <w:rFonts w:eastAsia="Times New Roman"/>
                <w:sz w:val="16"/>
                <w:szCs w:val="18"/>
                <w:lang w:eastAsia="it-IT"/>
              </w:rPr>
              <w:t>C</w:t>
            </w:r>
            <w:r w:rsidRPr="003464C6">
              <w:rPr>
                <w:rFonts w:eastAsia="Times New Roman"/>
                <w:sz w:val="16"/>
                <w:szCs w:val="18"/>
                <w:lang w:eastAsia="it-IT"/>
              </w:rPr>
              <w:t xml:space="preserve">ompletezza e accuratezza della documentazione prodotta (con particolare riferimento a: elaborati grafici, relazione tecnica-descrittiva, calcolo della spesa per l’esecuzione dei lavori, </w:t>
            </w:r>
            <w:proofErr w:type="spellStart"/>
            <w:r w:rsidRPr="003464C6">
              <w:rPr>
                <w:rFonts w:eastAsia="Times New Roman"/>
                <w:sz w:val="16"/>
                <w:szCs w:val="18"/>
                <w:lang w:eastAsia="it-IT"/>
              </w:rPr>
              <w:t>cronoprogramma</w:t>
            </w:r>
            <w:proofErr w:type="spellEnd"/>
            <w:r w:rsidRPr="003464C6">
              <w:rPr>
                <w:rFonts w:eastAsia="Times New Roman"/>
                <w:sz w:val="16"/>
                <w:szCs w:val="18"/>
                <w:lang w:eastAsia="it-IT"/>
              </w:rPr>
              <w:t xml:space="preserve"> dell’intervento).</w:t>
            </w:r>
          </w:p>
        </w:tc>
        <w:tc>
          <w:tcPr>
            <w:tcW w:w="2059" w:type="pct"/>
            <w:vAlign w:val="center"/>
          </w:tcPr>
          <w:p w:rsidR="000A52FB" w:rsidRDefault="000A52FB" w:rsidP="00384C0C">
            <w:pPr>
              <w:autoSpaceDE w:val="0"/>
              <w:autoSpaceDN w:val="0"/>
              <w:adjustRightInd w:val="0"/>
              <w:spacing w:afterLines="80" w:line="276" w:lineRule="auto"/>
              <w:jc w:val="center"/>
              <w:rPr>
                <w:rFonts w:eastAsia="Times New Roman"/>
                <w:sz w:val="16"/>
                <w:szCs w:val="18"/>
                <w:lang w:eastAsia="it-IT"/>
              </w:rPr>
            </w:pPr>
          </w:p>
        </w:tc>
      </w:tr>
      <w:tr w:rsidR="000A52FB" w:rsidRPr="003464C6" w:rsidTr="00EF24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835"/>
        </w:trPr>
        <w:tc>
          <w:tcPr>
            <w:tcW w:w="832" w:type="pct"/>
            <w:vMerge/>
            <w:vAlign w:val="center"/>
          </w:tcPr>
          <w:p w:rsidR="000A52FB" w:rsidRDefault="000A52FB" w:rsidP="00384C0C">
            <w:pPr>
              <w:autoSpaceDE w:val="0"/>
              <w:autoSpaceDN w:val="0"/>
              <w:adjustRightInd w:val="0"/>
              <w:spacing w:afterLines="80" w:line="276" w:lineRule="auto"/>
              <w:jc w:val="center"/>
              <w:rPr>
                <w:rFonts w:eastAsia="Times New Roman"/>
                <w:b/>
                <w:sz w:val="16"/>
                <w:szCs w:val="18"/>
                <w:lang w:eastAsia="it-IT"/>
              </w:rPr>
            </w:pPr>
          </w:p>
        </w:tc>
        <w:tc>
          <w:tcPr>
            <w:tcW w:w="2109" w:type="pct"/>
            <w:vAlign w:val="center"/>
          </w:tcPr>
          <w:p w:rsidR="000A52FB" w:rsidRDefault="000A52FB" w:rsidP="00384C0C">
            <w:pPr>
              <w:autoSpaceDE w:val="0"/>
              <w:autoSpaceDN w:val="0"/>
              <w:adjustRightInd w:val="0"/>
              <w:spacing w:afterLines="80" w:line="276" w:lineRule="auto"/>
              <w:rPr>
                <w:rFonts w:ascii="Arial" w:eastAsia="Times New Roman" w:hAnsi="Arial" w:cs="Arial"/>
                <w:sz w:val="16"/>
                <w:szCs w:val="18"/>
                <w:lang w:eastAsia="it-IT"/>
              </w:rPr>
            </w:pPr>
            <w:r w:rsidRPr="003464C6">
              <w:rPr>
                <w:rFonts w:eastAsia="Times New Roman"/>
                <w:sz w:val="16"/>
                <w:szCs w:val="18"/>
                <w:lang w:eastAsia="it-IT"/>
              </w:rPr>
              <w:t xml:space="preserve">B.3 - </w:t>
            </w:r>
            <w:r>
              <w:rPr>
                <w:rFonts w:eastAsia="Times New Roman"/>
                <w:sz w:val="16"/>
                <w:szCs w:val="18"/>
                <w:lang w:eastAsia="it-IT"/>
              </w:rPr>
              <w:t>C</w:t>
            </w:r>
            <w:r w:rsidRPr="003464C6">
              <w:rPr>
                <w:rFonts w:eastAsia="Times New Roman"/>
                <w:sz w:val="16"/>
                <w:szCs w:val="18"/>
                <w:lang w:eastAsia="it-IT"/>
              </w:rPr>
              <w:t>apacità del progetto di soddisfare la domanda attuale e increme</w:t>
            </w:r>
            <w:r>
              <w:rPr>
                <w:rFonts w:eastAsia="Times New Roman"/>
                <w:sz w:val="16"/>
                <w:szCs w:val="18"/>
                <w:lang w:eastAsia="it-IT"/>
              </w:rPr>
              <w:t>ntare l’</w:t>
            </w:r>
            <w:proofErr w:type="spellStart"/>
            <w:r>
              <w:rPr>
                <w:rFonts w:eastAsia="Times New Roman"/>
                <w:sz w:val="16"/>
                <w:szCs w:val="18"/>
                <w:lang w:eastAsia="it-IT"/>
              </w:rPr>
              <w:t>attrattività</w:t>
            </w:r>
            <w:proofErr w:type="spellEnd"/>
            <w:r>
              <w:rPr>
                <w:rFonts w:eastAsia="Times New Roman"/>
                <w:sz w:val="16"/>
                <w:szCs w:val="18"/>
                <w:lang w:eastAsia="it-IT"/>
              </w:rPr>
              <w:t xml:space="preserve"> del porto.</w:t>
            </w:r>
          </w:p>
        </w:tc>
        <w:tc>
          <w:tcPr>
            <w:tcW w:w="2059" w:type="pct"/>
            <w:vAlign w:val="center"/>
          </w:tcPr>
          <w:p w:rsidR="000A52FB" w:rsidRDefault="000A52FB" w:rsidP="00384C0C">
            <w:pPr>
              <w:autoSpaceDE w:val="0"/>
              <w:autoSpaceDN w:val="0"/>
              <w:adjustRightInd w:val="0"/>
              <w:spacing w:afterLines="80" w:line="276" w:lineRule="auto"/>
              <w:jc w:val="center"/>
              <w:rPr>
                <w:rFonts w:eastAsia="Times New Roman"/>
                <w:sz w:val="16"/>
                <w:szCs w:val="18"/>
                <w:lang w:eastAsia="it-IT"/>
              </w:rPr>
            </w:pPr>
          </w:p>
        </w:tc>
      </w:tr>
      <w:tr w:rsidR="000A52FB" w:rsidRPr="003464C6" w:rsidTr="00EF24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Height w:val="1119"/>
        </w:trPr>
        <w:tc>
          <w:tcPr>
            <w:tcW w:w="832" w:type="pct"/>
            <w:vMerge/>
            <w:vAlign w:val="center"/>
          </w:tcPr>
          <w:p w:rsidR="000A52FB" w:rsidRDefault="000A52FB" w:rsidP="00384C0C">
            <w:pPr>
              <w:autoSpaceDE w:val="0"/>
              <w:autoSpaceDN w:val="0"/>
              <w:adjustRightInd w:val="0"/>
              <w:spacing w:afterLines="80" w:line="276" w:lineRule="auto"/>
              <w:jc w:val="center"/>
              <w:rPr>
                <w:rFonts w:eastAsia="Times New Roman"/>
                <w:b/>
                <w:sz w:val="16"/>
                <w:szCs w:val="18"/>
                <w:lang w:eastAsia="it-IT"/>
              </w:rPr>
            </w:pPr>
          </w:p>
        </w:tc>
        <w:tc>
          <w:tcPr>
            <w:tcW w:w="2109" w:type="pct"/>
            <w:vAlign w:val="center"/>
          </w:tcPr>
          <w:p w:rsidR="000A52FB" w:rsidRDefault="000A52FB" w:rsidP="00384C0C">
            <w:pPr>
              <w:autoSpaceDE w:val="0"/>
              <w:autoSpaceDN w:val="0"/>
              <w:adjustRightInd w:val="0"/>
              <w:spacing w:afterLines="80" w:line="276" w:lineRule="auto"/>
              <w:rPr>
                <w:rFonts w:ascii="Arial" w:eastAsia="Times New Roman" w:hAnsi="Arial" w:cs="Arial"/>
                <w:sz w:val="16"/>
                <w:szCs w:val="18"/>
                <w:lang w:eastAsia="it-IT"/>
              </w:rPr>
            </w:pPr>
            <w:r w:rsidRPr="003464C6">
              <w:rPr>
                <w:rFonts w:eastAsia="Times New Roman"/>
                <w:sz w:val="16"/>
                <w:szCs w:val="18"/>
                <w:lang w:eastAsia="it-IT"/>
              </w:rPr>
              <w:t>B.</w:t>
            </w:r>
            <w:r>
              <w:rPr>
                <w:rFonts w:eastAsia="Times New Roman"/>
                <w:sz w:val="16"/>
                <w:szCs w:val="18"/>
                <w:lang w:eastAsia="it-IT"/>
              </w:rPr>
              <w:t>4</w:t>
            </w:r>
            <w:r w:rsidRPr="003464C6">
              <w:rPr>
                <w:rFonts w:eastAsia="Times New Roman"/>
                <w:sz w:val="16"/>
                <w:szCs w:val="18"/>
                <w:lang w:eastAsia="it-IT"/>
              </w:rPr>
              <w:t xml:space="preserve"> -</w:t>
            </w:r>
            <w:r>
              <w:rPr>
                <w:rFonts w:eastAsia="Times New Roman"/>
                <w:sz w:val="16"/>
                <w:szCs w:val="18"/>
                <w:lang w:eastAsia="it-IT"/>
              </w:rPr>
              <w:t>C</w:t>
            </w:r>
            <w:r w:rsidRPr="003464C6">
              <w:rPr>
                <w:rFonts w:eastAsia="Times New Roman"/>
                <w:sz w:val="16"/>
                <w:szCs w:val="18"/>
                <w:lang w:eastAsia="it-IT"/>
              </w:rPr>
              <w:t>apacità del progetto di generare stabilità, ovvero potenziare le attività economiche dipendenti dalla qualità dei fondali in termini di mantenimento/incremento dei livelli occupazionali, crescita dei traffici commerciali (merci e passeggeri)</w:t>
            </w:r>
            <w:r>
              <w:rPr>
                <w:rFonts w:eastAsia="Times New Roman"/>
                <w:sz w:val="16"/>
                <w:szCs w:val="18"/>
                <w:lang w:eastAsia="it-IT"/>
              </w:rPr>
              <w:t>.</w:t>
            </w:r>
          </w:p>
        </w:tc>
        <w:tc>
          <w:tcPr>
            <w:tcW w:w="2059" w:type="pct"/>
            <w:vAlign w:val="center"/>
          </w:tcPr>
          <w:p w:rsidR="000A52FB" w:rsidRDefault="000A52FB" w:rsidP="00384C0C">
            <w:pPr>
              <w:autoSpaceDE w:val="0"/>
              <w:autoSpaceDN w:val="0"/>
              <w:adjustRightInd w:val="0"/>
              <w:spacing w:afterLines="80" w:line="276" w:lineRule="auto"/>
              <w:jc w:val="center"/>
              <w:rPr>
                <w:rFonts w:eastAsia="Times New Roman"/>
                <w:sz w:val="16"/>
                <w:szCs w:val="18"/>
                <w:lang w:eastAsia="it-IT"/>
              </w:rPr>
            </w:pPr>
          </w:p>
        </w:tc>
      </w:tr>
    </w:tbl>
    <w:p w:rsidR="000A52FB" w:rsidRPr="009B5624" w:rsidRDefault="000A52FB" w:rsidP="000A52FB">
      <w:pPr>
        <w:rPr>
          <w:sz w:val="10"/>
          <w:szCs w:val="10"/>
        </w:rPr>
      </w:pPr>
    </w:p>
    <w:tbl>
      <w:tblPr>
        <w:tblStyle w:val="Grigliatabella"/>
        <w:tblW w:w="5000" w:type="pct"/>
        <w:tblLook w:val="04A0"/>
      </w:tblPr>
      <w:tblGrid>
        <w:gridCol w:w="2414"/>
        <w:gridCol w:w="6117"/>
        <w:gridCol w:w="5972"/>
      </w:tblGrid>
      <w:tr w:rsidR="000A52FB" w:rsidRPr="003464C6" w:rsidTr="00EF24EB">
        <w:trPr>
          <w:cantSplit/>
          <w:trHeight w:val="1038"/>
        </w:trPr>
        <w:tc>
          <w:tcPr>
            <w:tcW w:w="832" w:type="pct"/>
            <w:vAlign w:val="center"/>
          </w:tcPr>
          <w:p w:rsidR="000A52FB" w:rsidRDefault="000A52FB" w:rsidP="00384C0C">
            <w:pPr>
              <w:autoSpaceDE w:val="0"/>
              <w:autoSpaceDN w:val="0"/>
              <w:adjustRightInd w:val="0"/>
              <w:spacing w:afterLines="80" w:line="276" w:lineRule="auto"/>
              <w:jc w:val="center"/>
              <w:rPr>
                <w:rFonts w:ascii="Arial" w:eastAsia="Times New Roman" w:hAnsi="Arial" w:cs="Arial"/>
                <w:b/>
                <w:sz w:val="16"/>
                <w:szCs w:val="18"/>
                <w:lang w:eastAsia="it-IT"/>
              </w:rPr>
            </w:pPr>
            <w:r w:rsidRPr="003464C6">
              <w:rPr>
                <w:rFonts w:eastAsia="Times New Roman"/>
                <w:b/>
                <w:sz w:val="16"/>
                <w:szCs w:val="18"/>
                <w:lang w:eastAsia="it-IT"/>
              </w:rPr>
              <w:t>Previsione di servizi ambientali anche al fine di prevenire il rischio di immissione di specie aliene in ambiente marino</w:t>
            </w:r>
          </w:p>
        </w:tc>
        <w:tc>
          <w:tcPr>
            <w:tcW w:w="2109" w:type="pct"/>
            <w:vAlign w:val="center"/>
          </w:tcPr>
          <w:p w:rsidR="000A52FB" w:rsidRDefault="000A52FB" w:rsidP="00384C0C">
            <w:pPr>
              <w:autoSpaceDE w:val="0"/>
              <w:autoSpaceDN w:val="0"/>
              <w:adjustRightInd w:val="0"/>
              <w:spacing w:afterLines="80" w:line="240" w:lineRule="auto"/>
              <w:rPr>
                <w:rFonts w:eastAsia="Times New Roman"/>
                <w:sz w:val="16"/>
                <w:szCs w:val="18"/>
                <w:lang w:eastAsia="it-IT"/>
              </w:rPr>
            </w:pPr>
            <w:r w:rsidRPr="003464C6">
              <w:rPr>
                <w:rFonts w:eastAsia="Times New Roman"/>
                <w:sz w:val="16"/>
                <w:szCs w:val="18"/>
                <w:lang w:eastAsia="it-IT"/>
              </w:rPr>
              <w:t>C.</w:t>
            </w:r>
            <w:r>
              <w:rPr>
                <w:rFonts w:eastAsia="Times New Roman"/>
                <w:sz w:val="16"/>
                <w:szCs w:val="18"/>
                <w:lang w:eastAsia="it-IT"/>
              </w:rPr>
              <w:t>1</w:t>
            </w:r>
            <w:r w:rsidRPr="003464C6">
              <w:rPr>
                <w:rFonts w:eastAsia="Times New Roman"/>
                <w:sz w:val="16"/>
                <w:szCs w:val="18"/>
                <w:lang w:eastAsia="it-IT"/>
              </w:rPr>
              <w:t xml:space="preserve"> - Sviluppo di soluzioni capaci di ridurre l’impatto ambientale dell’intervento: adozione di misure di mitigazione dell’impatto ambientale durante le attività di dragaggio</w:t>
            </w:r>
            <w:r>
              <w:rPr>
                <w:rFonts w:eastAsia="Times New Roman"/>
                <w:sz w:val="16"/>
                <w:szCs w:val="18"/>
                <w:lang w:eastAsia="it-IT"/>
              </w:rPr>
              <w:t>.</w:t>
            </w:r>
            <w:r w:rsidRPr="003464C6">
              <w:rPr>
                <w:rFonts w:eastAsia="Times New Roman"/>
                <w:sz w:val="16"/>
                <w:szCs w:val="18"/>
                <w:lang w:eastAsia="it-IT"/>
              </w:rPr>
              <w:t xml:space="preserve"> </w:t>
            </w:r>
          </w:p>
        </w:tc>
        <w:tc>
          <w:tcPr>
            <w:tcW w:w="2059" w:type="pct"/>
            <w:vAlign w:val="center"/>
          </w:tcPr>
          <w:p w:rsidR="000A52FB" w:rsidRDefault="000A52FB" w:rsidP="00384C0C">
            <w:pPr>
              <w:autoSpaceDE w:val="0"/>
              <w:autoSpaceDN w:val="0"/>
              <w:adjustRightInd w:val="0"/>
              <w:spacing w:afterLines="80" w:line="276" w:lineRule="auto"/>
              <w:rPr>
                <w:rFonts w:eastAsia="Times New Roman"/>
                <w:sz w:val="16"/>
                <w:szCs w:val="18"/>
                <w:lang w:eastAsia="it-IT"/>
              </w:rPr>
            </w:pPr>
          </w:p>
        </w:tc>
      </w:tr>
      <w:tr w:rsidR="000A52FB" w:rsidTr="00EF24EB">
        <w:trPr>
          <w:cantSplit/>
          <w:trHeight w:val="1269"/>
        </w:trPr>
        <w:tc>
          <w:tcPr>
            <w:tcW w:w="832" w:type="pct"/>
            <w:vAlign w:val="center"/>
          </w:tcPr>
          <w:p w:rsidR="000A52FB" w:rsidRDefault="000A52FB" w:rsidP="00384C0C">
            <w:pPr>
              <w:autoSpaceDE w:val="0"/>
              <w:autoSpaceDN w:val="0"/>
              <w:adjustRightInd w:val="0"/>
              <w:spacing w:afterLines="80" w:line="276" w:lineRule="auto"/>
              <w:jc w:val="center"/>
              <w:rPr>
                <w:rFonts w:ascii="Arial" w:eastAsia="Times New Roman" w:hAnsi="Arial" w:cs="Arial"/>
                <w:b/>
                <w:sz w:val="16"/>
                <w:szCs w:val="18"/>
                <w:lang w:eastAsia="it-IT"/>
              </w:rPr>
            </w:pPr>
            <w:r w:rsidRPr="003464C6">
              <w:rPr>
                <w:rFonts w:eastAsia="Times New Roman"/>
                <w:b/>
                <w:sz w:val="16"/>
                <w:szCs w:val="18"/>
                <w:lang w:eastAsia="it-IT"/>
              </w:rPr>
              <w:t xml:space="preserve">Possesso da parte del </w:t>
            </w:r>
            <w:r>
              <w:rPr>
                <w:rFonts w:eastAsia="Times New Roman"/>
                <w:b/>
                <w:sz w:val="16"/>
                <w:szCs w:val="18"/>
                <w:lang w:eastAsia="it-IT"/>
              </w:rPr>
              <w:t>Soggetto B</w:t>
            </w:r>
            <w:r w:rsidRPr="003464C6">
              <w:rPr>
                <w:rFonts w:eastAsia="Times New Roman"/>
                <w:b/>
                <w:sz w:val="16"/>
                <w:szCs w:val="18"/>
                <w:lang w:eastAsia="it-IT"/>
              </w:rPr>
              <w:t>eneficiario di un sistema di gestione ambientale</w:t>
            </w:r>
          </w:p>
        </w:tc>
        <w:tc>
          <w:tcPr>
            <w:tcW w:w="2109" w:type="pct"/>
            <w:vAlign w:val="center"/>
          </w:tcPr>
          <w:p w:rsidR="000A52FB" w:rsidRDefault="000A52FB" w:rsidP="00384C0C">
            <w:pPr>
              <w:autoSpaceDE w:val="0"/>
              <w:autoSpaceDN w:val="0"/>
              <w:adjustRightInd w:val="0"/>
              <w:spacing w:afterLines="80" w:line="240" w:lineRule="auto"/>
              <w:rPr>
                <w:rFonts w:eastAsia="Times New Roman"/>
                <w:sz w:val="16"/>
                <w:szCs w:val="18"/>
                <w:lang w:eastAsia="it-IT"/>
              </w:rPr>
            </w:pPr>
            <w:r w:rsidRPr="003464C6">
              <w:rPr>
                <w:rFonts w:eastAsia="Times New Roman"/>
                <w:sz w:val="16"/>
                <w:szCs w:val="18"/>
                <w:lang w:eastAsia="it-IT"/>
              </w:rPr>
              <w:t>C.</w:t>
            </w:r>
            <w:r>
              <w:rPr>
                <w:rFonts w:eastAsia="Times New Roman"/>
                <w:sz w:val="16"/>
                <w:szCs w:val="18"/>
                <w:lang w:eastAsia="it-IT"/>
              </w:rPr>
              <w:t>2</w:t>
            </w:r>
            <w:r w:rsidRPr="003464C6">
              <w:rPr>
                <w:rFonts w:eastAsia="Times New Roman"/>
                <w:sz w:val="16"/>
                <w:szCs w:val="18"/>
                <w:lang w:eastAsia="it-IT"/>
              </w:rPr>
              <w:t xml:space="preserve"> – Applicazione di un sistema di gestione rilasciato da un ente certificatore (EMAS, ISO 14001, ecc..)</w:t>
            </w:r>
            <w:r>
              <w:rPr>
                <w:rFonts w:eastAsia="Times New Roman"/>
                <w:sz w:val="16"/>
                <w:szCs w:val="18"/>
                <w:lang w:eastAsia="it-IT"/>
              </w:rPr>
              <w:t>.</w:t>
            </w:r>
          </w:p>
        </w:tc>
        <w:tc>
          <w:tcPr>
            <w:tcW w:w="2059" w:type="pct"/>
            <w:vAlign w:val="center"/>
          </w:tcPr>
          <w:p w:rsidR="000A52FB" w:rsidRDefault="000A52FB" w:rsidP="00384C0C">
            <w:pPr>
              <w:autoSpaceDE w:val="0"/>
              <w:autoSpaceDN w:val="0"/>
              <w:adjustRightInd w:val="0"/>
              <w:spacing w:afterLines="80" w:line="276" w:lineRule="auto"/>
              <w:rPr>
                <w:rFonts w:eastAsia="Times New Roman"/>
                <w:sz w:val="18"/>
                <w:szCs w:val="18"/>
                <w:lang w:eastAsia="it-IT"/>
              </w:rPr>
            </w:pPr>
          </w:p>
        </w:tc>
      </w:tr>
    </w:tbl>
    <w:p w:rsidR="000A52FB" w:rsidRDefault="000A52FB" w:rsidP="000A52FB">
      <w:pPr>
        <w:autoSpaceDE w:val="0"/>
        <w:autoSpaceDN w:val="0"/>
        <w:adjustRightInd w:val="0"/>
        <w:spacing w:after="0" w:line="240" w:lineRule="auto"/>
        <w:rPr>
          <w:rFonts w:eastAsia="Times New Roman"/>
          <w:sz w:val="18"/>
          <w:szCs w:val="18"/>
          <w:lang w:eastAsia="it-IT"/>
        </w:rPr>
      </w:pPr>
    </w:p>
    <w:p w:rsidR="000A52FB" w:rsidRDefault="000A52FB" w:rsidP="000A52FB">
      <w:pPr>
        <w:autoSpaceDE w:val="0"/>
        <w:autoSpaceDN w:val="0"/>
        <w:adjustRightInd w:val="0"/>
        <w:spacing w:after="0" w:line="240" w:lineRule="auto"/>
        <w:rPr>
          <w:rFonts w:eastAsia="Times New Roman"/>
          <w:sz w:val="18"/>
          <w:szCs w:val="18"/>
          <w:lang w:eastAsia="it-IT"/>
        </w:rPr>
      </w:pPr>
    </w:p>
    <w:p w:rsidR="000A52FB" w:rsidRDefault="000A52FB" w:rsidP="000A52FB">
      <w:pPr>
        <w:autoSpaceDE w:val="0"/>
        <w:autoSpaceDN w:val="0"/>
        <w:adjustRightInd w:val="0"/>
        <w:spacing w:after="0" w:line="240" w:lineRule="auto"/>
        <w:rPr>
          <w:rFonts w:eastAsia="Times New Roman"/>
          <w:sz w:val="18"/>
          <w:szCs w:val="18"/>
          <w:lang w:eastAsia="it-IT"/>
        </w:rPr>
      </w:pPr>
      <w:r w:rsidRPr="004920A2">
        <w:rPr>
          <w:rFonts w:eastAsia="Times New Roman"/>
          <w:sz w:val="18"/>
          <w:szCs w:val="18"/>
          <w:lang w:eastAsia="it-IT"/>
        </w:rPr>
        <w:t xml:space="preserve">Luogo e data </w:t>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Pr>
          <w:rFonts w:eastAsia="Times New Roman"/>
          <w:sz w:val="18"/>
          <w:szCs w:val="18"/>
          <w:lang w:eastAsia="it-IT"/>
        </w:rPr>
        <w:tab/>
      </w:r>
      <w:r w:rsidRPr="004920A2">
        <w:rPr>
          <w:rFonts w:eastAsia="Times New Roman"/>
          <w:sz w:val="18"/>
          <w:szCs w:val="18"/>
          <w:lang w:eastAsia="it-IT"/>
        </w:rPr>
        <w:t xml:space="preserve">Firma e timbro  del </w:t>
      </w:r>
      <w:r>
        <w:rPr>
          <w:rFonts w:eastAsia="Times New Roman"/>
          <w:sz w:val="18"/>
          <w:szCs w:val="18"/>
          <w:lang w:eastAsia="it-IT"/>
        </w:rPr>
        <w:t>S</w:t>
      </w:r>
      <w:r w:rsidRPr="004920A2">
        <w:rPr>
          <w:rFonts w:eastAsia="Times New Roman"/>
          <w:sz w:val="18"/>
          <w:szCs w:val="18"/>
          <w:lang w:eastAsia="it-IT"/>
        </w:rPr>
        <w:t xml:space="preserve">oggetto </w:t>
      </w:r>
      <w:r>
        <w:rPr>
          <w:rFonts w:eastAsia="Times New Roman"/>
          <w:sz w:val="18"/>
          <w:szCs w:val="18"/>
          <w:lang w:eastAsia="it-IT"/>
        </w:rPr>
        <w:t>P</w:t>
      </w:r>
      <w:r w:rsidRPr="004920A2">
        <w:rPr>
          <w:rFonts w:eastAsia="Times New Roman"/>
          <w:sz w:val="18"/>
          <w:szCs w:val="18"/>
          <w:lang w:eastAsia="it-IT"/>
        </w:rPr>
        <w:t>roponente</w:t>
      </w:r>
    </w:p>
    <w:p w:rsidR="000A52FB" w:rsidRDefault="000A52FB" w:rsidP="000A52FB">
      <w:pPr>
        <w:autoSpaceDE w:val="0"/>
        <w:autoSpaceDN w:val="0"/>
        <w:adjustRightInd w:val="0"/>
        <w:spacing w:after="0" w:line="276" w:lineRule="auto"/>
        <w:jc w:val="both"/>
        <w:rPr>
          <w:rFonts w:ascii="Calibri" w:hAnsi="Calibri" w:cs="Calibri"/>
          <w:b/>
          <w:bCs/>
          <w:color w:val="000000"/>
          <w:sz w:val="16"/>
          <w:szCs w:val="16"/>
        </w:rPr>
      </w:pPr>
    </w:p>
    <w:p w:rsidR="000A52FB" w:rsidRDefault="000A52FB" w:rsidP="000A52FB">
      <w:pPr>
        <w:autoSpaceDE w:val="0"/>
        <w:autoSpaceDN w:val="0"/>
        <w:adjustRightInd w:val="0"/>
        <w:spacing w:after="0" w:line="276" w:lineRule="auto"/>
        <w:jc w:val="both"/>
        <w:rPr>
          <w:rFonts w:ascii="Calibri" w:hAnsi="Calibri" w:cs="Calibri"/>
          <w:b/>
          <w:bCs/>
          <w:color w:val="000000"/>
          <w:sz w:val="16"/>
          <w:szCs w:val="16"/>
        </w:rPr>
      </w:pPr>
      <w:r>
        <w:rPr>
          <w:rFonts w:ascii="Calibri" w:hAnsi="Calibri" w:cs="Calibri"/>
          <w:b/>
          <w:bCs/>
          <w:color w:val="000000"/>
          <w:sz w:val="16"/>
          <w:szCs w:val="16"/>
        </w:rPr>
        <w:t>N.B. Allegare copia del documento di identità in corso di validità del soggetto sottoscrittore.</w:t>
      </w:r>
    </w:p>
    <w:p w:rsidR="00B425CC" w:rsidRDefault="00CD1939"/>
    <w:sectPr w:rsidR="00B425CC" w:rsidSect="000A52FB">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39" w:rsidRDefault="00CD1939" w:rsidP="00766F58">
      <w:pPr>
        <w:spacing w:after="0" w:line="240" w:lineRule="auto"/>
      </w:pPr>
      <w:r>
        <w:separator/>
      </w:r>
    </w:p>
  </w:endnote>
  <w:endnote w:type="continuationSeparator" w:id="0">
    <w:p w:rsidR="00CD1939" w:rsidRDefault="00CD1939" w:rsidP="00766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39" w:rsidRDefault="00CD1939" w:rsidP="00766F58">
      <w:pPr>
        <w:spacing w:after="0" w:line="240" w:lineRule="auto"/>
      </w:pPr>
      <w:r>
        <w:separator/>
      </w:r>
    </w:p>
  </w:footnote>
  <w:footnote w:type="continuationSeparator" w:id="0">
    <w:p w:rsidR="00CD1939" w:rsidRDefault="00CD1939" w:rsidP="00766F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58" w:rsidRDefault="00766F58">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proofState w:spelling="clean"/>
  <w:defaultTabStop w:val="708"/>
  <w:hyphenationZone w:val="283"/>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A52FB"/>
    <w:rsid w:val="000534BA"/>
    <w:rsid w:val="000A52FB"/>
    <w:rsid w:val="00242834"/>
    <w:rsid w:val="00292AF1"/>
    <w:rsid w:val="00384C0C"/>
    <w:rsid w:val="0042053C"/>
    <w:rsid w:val="00766F58"/>
    <w:rsid w:val="0078571E"/>
    <w:rsid w:val="00CD1939"/>
    <w:rsid w:val="00E42CAA"/>
    <w:rsid w:val="00E770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52FB"/>
    <w:pPr>
      <w:spacing w:after="160" w:line="259" w:lineRule="auto"/>
    </w:pPr>
  </w:style>
  <w:style w:type="paragraph" w:styleId="Titolo1">
    <w:name w:val="heading 1"/>
    <w:basedOn w:val="Normale"/>
    <w:next w:val="Normale"/>
    <w:link w:val="Titolo1Carattere"/>
    <w:uiPriority w:val="9"/>
    <w:qFormat/>
    <w:rsid w:val="000A52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52FB"/>
    <w:rPr>
      <w:rFonts w:asciiTheme="majorHAnsi" w:eastAsiaTheme="majorEastAsia" w:hAnsiTheme="majorHAnsi" w:cstheme="majorBidi"/>
      <w:b/>
      <w:bCs/>
      <w:color w:val="365F91" w:themeColor="accent1" w:themeShade="BF"/>
      <w:sz w:val="28"/>
      <w:szCs w:val="28"/>
    </w:rPr>
  </w:style>
  <w:style w:type="table" w:styleId="Grigliatabella">
    <w:name w:val="Table Grid"/>
    <w:basedOn w:val="Tabellanormale"/>
    <w:uiPriority w:val="39"/>
    <w:rsid w:val="000A52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A52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A52FB"/>
    <w:rPr>
      <w:rFonts w:ascii="Tahoma" w:hAnsi="Tahoma" w:cs="Tahoma"/>
      <w:sz w:val="16"/>
      <w:szCs w:val="16"/>
    </w:rPr>
  </w:style>
  <w:style w:type="paragraph" w:styleId="Intestazione">
    <w:name w:val="header"/>
    <w:basedOn w:val="Normale"/>
    <w:link w:val="IntestazioneCarattere"/>
    <w:uiPriority w:val="99"/>
    <w:semiHidden/>
    <w:unhideWhenUsed/>
    <w:rsid w:val="00766F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66F58"/>
  </w:style>
  <w:style w:type="paragraph" w:styleId="Pidipagina">
    <w:name w:val="footer"/>
    <w:basedOn w:val="Normale"/>
    <w:link w:val="PidipaginaCarattere"/>
    <w:uiPriority w:val="99"/>
    <w:semiHidden/>
    <w:unhideWhenUsed/>
    <w:rsid w:val="00766F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66F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2017-10-11T12:30:00Z</dcterms:created>
  <dcterms:modified xsi:type="dcterms:W3CDTF">2018-06-28T13:26:00Z</dcterms:modified>
</cp:coreProperties>
</file>